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از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حس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ین کُرد شبستری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تا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امیر ارسلان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bidi w:val="true"/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جواد اسحاق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یان</w:t>
      </w: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سالها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از نوشتن کتاب انتشار نیافته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بوطیقای نو در امیر ارسلان نقیب الممالک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پس از آن که به تصادف به پهنه ی مطالعه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نقالی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سنت روایتهایی شفاهی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به ویژه ترجمه ی انتشار نیافته ی کتاب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نقالی و فردوسی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خلاقیت در سنّت ملّی ایرانی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Naqq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āli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Ferdowsi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Creativity in the Iranian National Tradition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نوشته ی ارزشمند دکتر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مری الِن پیج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Ellen Page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سال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و ترجمه ی منتشر نشده 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نقالی تا شاعری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پسزمینه ی شفاهی حماسه های فارسی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From Storytelling to Poetry: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the Oral Background of the Persian Epics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نوشته ی دکتر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کومیکو یاماموتو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مطالعه ی تحقیق فراگیر پروفسور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اولریش مارزولف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Ulrich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Marzolph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عنوان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گنجینه ی روایت قالبی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رمانس عامیانه و فارسی 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 Treasury of Formulaic Narrative: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The Persian Popular Romance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Hosein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Kord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انتشار یافته در سال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کشیده شدم، دریافتم که رمانس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ریشه هایی هم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دینی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سنت نقالی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دوره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صفویه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دارد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مهمترین آنها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محمدجعفر محجوب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معرفی کوتاه این داستان عامیانه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نویسنده اش بر ما دانسته نیست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نویسد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کتاب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تنها افسانه ی عامیانه ای است که زمان و مکان آن معلوم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داستان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دوره ی صفویه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شبستر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تبریز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اصفهان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دیگر نقاط ایران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شیراز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مشهد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اتفاق می افتد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شمشیر برّان این پهلوان در راه ترویج مذهب جعفری به کار می افتد و پهلوانانی که با او دست و پنجه نرم میکنند، تمام مسلمان و سنّی مذهب هایند و حسین کُرد بر تمام آنها فایق می آید؛ یا ایشان را میکشد یا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راه راست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هدایت میکند و از این جهت، می توان آن را یک کتاب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مذهبی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دانست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محجوب،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1381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1057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از آنجا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نقطه ی کانونی بحث و فحث، ریشه یابی و چگونگی پیدایش رمان عاشقانه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است، میخواهم به تأثیرات و مشترکاتی بپردازم که میان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مذهبی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روزگار صفویه و رمانس عاشقانه ی عصر قاجار یافته 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به حق، همان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حلقه ی مفقوده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 میدانم که میتواند رشته های پراکنده میان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هزار و یک شب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ملک جمشید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کنتِ مونت کریستو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Counte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of Mont Cristo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به هم پیوند 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آنچه در پهنه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میان متنی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intertextuality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میان این آثار اهمیت دارد، تکامل فزاینده ی رمانس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نقیب الممالک شیرازی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که توانسته خود را از کاستیهای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دینی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فرابرده، تا سطح رمانسی مدرن ارتقا 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این فرابینی، نافرهیختگی و ناهمواری راوی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روزگار خشونت و عصبیتهای دینی صفویه جای خود را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فرهیختگی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نقال دربار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ناصرالدین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یک سو و زبان پاکیزه و عاری از دشنامهای رکیک و شرم آور و به ویژه وفاداری به سنتهای غنی روایات شفاهی و نقالی در دوره ی قاجاری داده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سختکوشی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نقیب الممالک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اِشراف او بر حوزه ی کاری و تخصصی از یک سو و این که او در حضور شخص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قبله ی عالم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تقریر میکند و بانویی فرهیخته و ادیب چون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توران آقا فخرالدوله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دختر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ناصرالدین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پشت پرده آن را تحریر میکرده است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خود مانع از این می شده که حتی در مقام خوشایند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قبله ی عالم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مانند بسیاری از شاهان قاجاری به زشت گویی دلبستگی داشته 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آن تعب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یرات بارد و رکیک بهره ببرد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با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ید دقت کرد زبان سخیف و ناهموار و دشنامهای همه ی شخصیتها در این حماسه ی دینی، در تاریخ عصر صفوی، تبلیغ و ترویج آموزه های شیعی قهری، سلطه ی نظام اقتصادی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اجتماع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عشیره 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قراقویونلو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مبارزه با ارزشها و فرابینی موجود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عرفان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گسست فرهنگی با سنتهای ارزشمند هنری و ادبی کلاسیک و در چیرگی سیاست بر دستاوردهای علمی، ادبی و فرهنگی ریشه داشته و در بی اعتباری زبان و ادبیات فارسی این دوره، نقشی مهم ایفا میکرده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باور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یان ریپکا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Rypka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ایران شناس برجسته ی چک، یکی از علل تباهی و سقوط فرهنگی در روزگار صفویه، تمرکز بیش از اندازه ی قدرت دولت در دست شاه بوده که از بروز تعدد و تنوع و تکثر فرهنگی و عقیدتی و ادبی پیشگیری میکرده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آن که نظام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ملوک الطوایفی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روزگاران گذشته هم سستیها و ناکارامدیهایی خاص خود دارد، راه را بر این تعدد و تکثر فرهنگی و عقیدتی هموار میکرده است؛ به ویژه که عامل دین، در اداره ی امور و سیاست گذاری نقشی تعیین میداشته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میان رفتن نفوذ عرفان و عرفا به عنوان عاملی تأثیرگذار در تکثر و تنوع و تعدیل عقیدتی، راه را برای چیرگی مذهب تشیع بر همه ی شؤون حیات سیاسی و فرهنگی کشور، هموار می ساخت و جز در دوره هایی بسیار کوتاه و مقطعی، باعث اختناق فرهنگی می شد که نمودش را در مهاجرت شعرا و دانشمندان به هند و آسیای صغیر می توان دید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بنیانگذاران این سلسله، تباری عشیره ای و ایلیاتی میداشته اند و هرگاه چنین سلسله هایی بر کشور مسلط می شده اند، فرهنگ و ادب و عرفان و مدنیّت به حاشیه رانده می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"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علا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یق فرهنگی آنان بر محور تبلیغات و تحکیم مبانی مذهب آمیخته با سیاست دور می زند که، از یک سو، از راه تقویت علوم دینی و، از سوی دیگر، به وسیله ی ادبیات مذهبی انجام می گیرد و البته هر دو در مسیر تشیع پیش می رود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تاریخ ایران نشان می دهد که عدم مرکزیت برای شکوفا شدن ادبیات فئودالی مساعد بوده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با برآمدن صفویه، امور شدیداً تمرکز می یابد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اینان عقاید مذهبی را تحت اصول معینی قرار داده به یکسان ساختن آرای عمومی می پردازند و به موازات آن به طور کلی، تحصیلات را مقید می سازند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تحصیل علوم دینی دورنمایی بس فریبنده دارد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غایت آمال جوانان عصر صفوی جز این نیست که مجتهدی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(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یعنی یک مفسر ذی صلاحیت احکام دینی و مسائل فقهی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با قدرت مطلق بشوند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مینورسکی فقدان شاعران بزرگ را در نتیجه ی این می داند که عرفان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که یک رکن اساسی ادبیات فارسی دری است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معمولاً بازتابی از اوضاع اسف انگیر و محرومیت های مردم است اما ایرانیان عهد صفوی، ابتدا به حفظ موجودیت خود کمر بسته، سپس به توسعه ی متصرفات و دیگر مسائل عملی پرداختند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زندگانی خانقاهی تحت فشار سیاست صفویه از میان می رود و در نتیجه، تفکرات و دید عرفانی نیز از عرصه ی شعر و ادب رخت بر می بندد زیرا مجتهدان سخت در پی دستگیری و آزار صوفیان اند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نگه داری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"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مثنوی مولوی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"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در خانه، همراه با خطر دایمی است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ریپکا،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1385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آن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چه میخواهم بر آن تأکید کنم، این است که حماسه ی دینی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عنوان اثری در رده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ادبیات عوامانه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ادبیات عامیانه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باید به عنوان بازتابی از انحطاط مدنیت و سقوط فرهنگی و تاریخی در عصر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صفویه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مورد مطالعه قرار گیرد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من بر نقال و راوی ناهموار و ناتراش این اثر خرده ای نمیگیرم، زیرا پرورده و محصول طبیعی نظام تاریخی، فرهنگی و سقوط اخلاقی عصر خویش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این همه در جمعبندی نهایی، می توان گفت که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دینی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این سبک در نقل و نقالی و افزون بر آن، این گونه آموزه های غیر اخلاقی در تاریخ روایت شفاهی ایران بی پیشینه و نتیجه ی مقدّر همان فرهنگ عشیره ای و عصبتهای دینی از یک سو و آمیزش سیاست با آموزه های تبلیغی و تهییجی دینی بوده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برخی از مضامین مشترک و گاه منحط این دو اثر و تأثیر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دینی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ناهنجار بر آن سنت نقالی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دقت کنیم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6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دشنام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گویی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یکی از نمودهای فرهنگ،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ادب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که در رساله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التّعریفات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نوشته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شریف جُرجانی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آن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نگهداشت حدّ هر چیز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تعبیر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فرهنگ و زبان نقالی، فرهنگی شفاهی و مخاطب آن در وجه غالب، عوام و توده های کمتر فرهیخته ی جامعه هستند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طبعاً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نقال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نقل و روایت خود میکوشد خواسته و ناخواسته برای تأثیر گذاری بیشتر بر مخاطبان عامّی خود و جلب نظر مساعد آنان، به همان زبانی نقل بگوید که آنان می پسندند و روا میدارند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جز برخی موارد استثنایی، بهره جویی از واژگان و تعبیرات سخیف و زشت، در نقل و نقالی، شیوه ی غالب نقالان در روایت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حق با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مارزولف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که به هنگام مقایسه ی زبان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نقیب الممالک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راوی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نویسد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مخاطب نق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یب الممالک، اندک، فرهیخته و برخاسته از یک پایگاه اجتماعی عالی و متنفذ بود و طبعاً زبانی هم که برای این گونه مخاطبان به کار میرفت، با همبافت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context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اجراهای میدانی تفاوت میداشت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درست بر خلاف مقام و موقعیت شاهانه ای که اجرای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نقیب الممالک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اقتضا میکرد، قصه های عامیانه و داستانهای عاشقانه ی عامیانه ای که در انظار مردم ، در میدانهای عمومی و قهوه خانه ها و در حضور مخاطبان نافرهیخته اجرا و نقل می شد، زبان تخاطب میان نقال و مخاطب، متفاوت بود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مارزولف،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مسیحی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یکی از پهلوانان و ناوچه های فدایی و مجاهد شیعی در دربار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صفوی است و دارد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با خود به دربار می برد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قاپوچی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نگهبان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به دلیل شباهتش به یک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غول بی شاخ و دُم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نمی شناسد، راه بر او میگیرد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شیوه ی برخورد این سه تن با هم دقت کنیم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قا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پوچی سرِ راه بر او گرفت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حسین چوب بلند کرد که مسیح نعره کشید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چه میکنی؟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</w:t>
      </w:r>
    </w:p>
    <w:p>
      <w:pPr>
        <w:numPr>
          <w:ilvl w:val="0"/>
          <w:numId w:val="8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این آروادی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پتیاره، زنِ ناپاک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قحبه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فاحشه، روسبی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نمیگذارد من داخل شوم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یح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 زن جلب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 که زنی فاسد و نا به کار دارد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این، یتیم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بی نام و نشان، ناکَس، از زیر بته درآمده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نیست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چرا نمیگذاری وارد شود؟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حسین کرد،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1394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31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9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چنان که می بینیم، زبان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چوپان بیابانی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قرچه، کوهی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زبان پهلوان دربار و سردار مجاهد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 کبیر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معلم و مربی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گویا میخواهد به این چوپان ناهموار و ناتراش بیابانی آموزش بدهد و تربیت کند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یناً یکی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هر دو دشنامگو و بد زبانند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قاصدی را به نزد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میفرستد تا به او بگوید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پول کمتر خرج کن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تهمتن خَطه ی آذربایجان به قاصد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bidi w:val="true"/>
        <w:spacing w:before="0" w:after="160" w:line="36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زن قحبه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 بخیل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بخیلِ کیسه ی مردمی؟ خود میدانم و دست به خنجر رسانید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    </w:t>
      </w:r>
    </w:p>
    <w:p>
      <w:pPr>
        <w:bidi w:val="true"/>
        <w:spacing w:before="0" w:after="160" w:line="360"/>
        <w:ind w:right="0" w:left="9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در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حال، متوجه می شویم که این تهمتن بی تبار و بی ریشه ی غول صفت، گذشته از دشنام و خشونت زبانی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هیچ کس از دست و زبانش ایمِن نیست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خشونت جسم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هم بی بهره نیفتاده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مجاهد شیعی که انگشت در جهان کرده و سنّی میجوید تا به نام نامی حضرت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علی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جانش بستاند، از بدزبانی در حق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برجسته ترین شاه در تبار صفویه خودداری نمیکند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ظاهراً چون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لباس مبدل و معمولاً درویشی در انظار عموم ظاهر می شده است،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را نمی شناسد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این همه، این توجیه، فریبی بیش نیست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بارها شاه را در دربار و در هیأت شاهانه هم دیده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قاصد از طرف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او پیغامی می فرستد، گستاخانه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زود برو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که ما از شاه عباس بیمی نداریم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شاه عباس، شاه خودش است؛ شاه ما که نیست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برو ، خبر از برای او ییر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82-81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-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 مورد دیگر،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دل به نزد ساده رویی به نام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یوسف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شاگرد قهوه چی برده 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او 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یگوید لباسی که بر تن داری، شایسته ی تو نیست؛ باید لباسی شاهانه بپوشی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تهمتن دوران به دربار رفته به زور و جبر، لباس نفیس شاهانه را دزدیده برای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یوسف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خود می برد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میگوید تو چگونه مرا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جای پدر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خود 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فرزند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من میدانی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لباس شاه را می آوری به فلانی می پوشانی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ناهموارانه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قارداش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برادر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من است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یوسف با ما تفاوتی ندارد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160" w:line="360"/>
        <w:ind w:right="0" w:left="9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افزون بر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ین، وقتی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استاد و مربی و نجات دهنده ی او از مرگ، از او میخواهد سر بر خط فرمان شاه بگذارد و عذرخواهی کند، وی هر دو پا بر زمین زده، کبوتروار بلند می شود و پشت بام میرود و قدم در کوچه میگذارد و به گونه ای که همگان بشنوند، شاره را تهدید میکند که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 شاه عباس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اگر مویی از سرِ یوسف کم بکنی، یک شب دیگر بالای سرت می آیم و سرِ تو را می بُرم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tabs>
          <w:tab w:val="left" w:pos="521" w:leader="none"/>
        </w:tabs>
        <w:bidi w:val="true"/>
        <w:spacing w:before="0" w:after="160" w:line="360"/>
        <w:ind w:right="0" w:left="-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تا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کنون کسی پهلوان و عیاری چنین گستاخ و ناتراش دیده است؟ حق با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مارزولف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که در مورد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غول بیابانی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521" w:leader="none"/>
        </w:tabs>
        <w:bidi w:val="true"/>
        <w:spacing w:before="0" w:after="160" w:line="360"/>
        <w:ind w:right="0" w:left="-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از نظر بدن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رشدی مفرط دارد، اما به اعتبار شعور اجتماعی در همه ی تا پایان داستان همچنان بی ادب و ناتراش باقی میماند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علاقه ی خاصی به حفظ استقلال خویش دارد و تنها در وضعیتهایی خاص حاضر به اطاعت از بالا دستهای خود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توان بدنی اش او را به قهرمانی شکست ناپذیر تبدیل کرده است، اما در همان حال، به تنعم فردی خویش بیشتر می اندیشد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286-285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9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با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همه، من با نظر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مارزولف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چندان موافق نیستم، زیرا حتی یک مورد استثنایی هم در متن نیافته ام که او نشان دهد فرمانبردار کسی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پنجاه پهلوان به باغچه سرای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آیند تا دستگیرش کنند، وضعیت دفاعی یا تهاجمی به خود میگیرد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-46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ین پیشانی یوسف را بوسید و برخاست و سپر بر سر پنجه کشید و تیغ از غلاف بیرون کشید و نعره زد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 شاه عباس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کیست میخواهد مرا بگیرد؟ آمدم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-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وقت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قهرمان داستان چنین بی پروا و ناتراش باشد که شاه را هم به مبارزه طلبد، از دیگران چه انتظاری باید داشت؟ اینک ببینیم این نقالی که خود را از زمره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طوطیان شکرشکن و شیرین گفتار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میداند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قرار است کسی 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ویژه اگر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ضد قهرمان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Antagonist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شریر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Villain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معرف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میکند، چگونه با او برخورد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راوی با همین اوصاف و نعوتی که برای او می آورد، مخاطب را هم با خود همداستان و جهتگیری ایده ئولوژیک خود را آشکار </w:t>
      </w:r>
    </w:p>
    <w:p>
      <w:pPr>
        <w:bidi w:val="true"/>
        <w:spacing w:before="0" w:after="160" w:line="360"/>
        <w:ind w:right="0" w:left="-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اختر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نامی در این به اصطلاح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دینی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مأموریت یافته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اصفهان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رفته پهلوانان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شخص او را کشته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رافضیان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شیعیان انتقام گیرد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اخترخان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ضد قهرمان و شخصیت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شریر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اهل تسنّن است و راوی طبعاً نسبت به او حالت عداوت و انکار دارد و به همین دلیل وقتی میخواهد او را معرفی کند،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ولدالزّنا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یی که او را اخترخان می گفتند، حرام زاده ای بود قوی هیکل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برخاست و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 پادشاه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مرا مرخّص بفرما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9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و در جا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یی دیگر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ببرازخان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هم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قصد رفتن به تبریز دارد تا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بیجان کند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حرامزاده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میخواند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مشعلداری را هم از کوچه میگذرد، به همین صفت متّصف می کند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دشنام و زشتگویی، چون نقل و نبات بر زبان و دهان همه ی کسان داستان روان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قراچه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حاکم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مشهد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داروغه ی شهر خود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حرام زاده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میگوید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در جایی دیگر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قلتبان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معنی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دیّوث و قرمساق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اگر کسی بخواهد واژه نامه ای از زشت ترین دشنامها فراهم آورد،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برگزیده ترین منبع و مرجع خواهد بود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پیج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آن که به نقل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تذکره ی نصرآبادی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نوشته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محمد میرزا نصرآبادی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رونق بازار نقالی در دوره ی صفویه به ویژه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 اول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سخن میگوید، از این حماسه ی دینی اصلاً نام نمی برد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پیج،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یاماموتو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تنها یک بار از این حماسه ی دینی یاد کرده، آن را اثری مربوط به عصر صفویه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تقابل تشیّع و تسنّن در روزگار سلطنت شاه عباس اول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دانسته 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یاماموتو،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آن که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دینی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ادبیات عامیانه ی فارسی اهمیتی خاص داشته،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محجوب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در جستار مفصل خود جز در حد یک بند، به آن نپرداخته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آن که این اثر به اعتبار ادبی و حتی محتوایی چندان ارزشی ندارد و گاه خواننده از مطالعه ی آن بیزار و متأسف می شود، به خاطر تأثیری که به ویژه بر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شاید دیگر روایات شفاهی و نقالی عوامانه نهاده، منبع مهمی است و اهمیتش هم به دلیل است که وقتی نقالی کم سواد و مخاطبانی از عوام الناس آن هم در عصر چیرگی تعصبات مذهبی و خرافه پرستی به این گونه آثار اقبال نشان میدهند، یک قلتشن و چوپان ناتراش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تهمتن دوران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تبدیل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البته، دشنام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گویی و زشت گفتاری در ادبیات عامیانه و نقالیهایی که به ویژه در میدانهای عمومی بر زبان نقالان جاری می شده است، پیشینه ای دراز دارد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جلیل دوستخواه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مقدمه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شاهنامه ی نقالان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نمونه هایی از دشنامهای آنان را می آورد که حتی مهربانویی چون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تهمینه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فردوسی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وصف او میگوید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روانش خرَد بود و تن، جانِ پاک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تو گفتی که بهره ندارد ز خاک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نقل نقال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ناهموار و بی ادب خطاب یه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خجند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ساکت باش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سرت به هرچه نه بدترِ مافوقت رفته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دوستخواه،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1396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ریشه ی بسیاری از دشنامها البته جنبه ی ایده ئولوژیک و جهتگیری مذهبی دارد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این همه  از دشنامها و تهدیدهایی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گویا  نسب به حضرت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علی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میرساند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باز هم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زشتگویی، به یک هنجار در نقالی عوامانه تبدیل 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زیر تأثیر آثاری از این نوع ادبی شاهدختی فرهیخته چون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فرخ لقا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می شنود که پدرش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پطرس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فرنگ، غیاباً او را برای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هوشنگ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نامی میخواهد عقد کند، خشمگینانه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یخواهم سر به تن پدرم نباشد که مرا ببخشد به امیر هوشنگ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هوشنگ، سگ کیست که مرا به او ببخشد؟ مگر من کنیز او بودم که مرا ببخشد؟ غلط کرد آن که مرا بخشید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نقیب الممالک،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1378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و در جا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یی دیگر، وقتی چشم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از سالها دوری به مادرش می افتد، از این که هویت واقعی اش را بر او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فاش 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کرده، به او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گیسو بریده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معنی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ناپاک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پتیاره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معنی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روسپی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میگوید و تهدید می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گیسو بریده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حالا هم حاشا میکنی؟ بزنم این شمشیر را به فرقت؟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و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خواجه نعمان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به جای پدر او را بزرگ کرده است،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حرام زاده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زن جلب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خطاب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حرام زاده ی زن جلب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اگر حق تربیت به گردن من نداشتی، با شمشیر دو پاره ات میکردم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025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24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یغمای خزانه ی دولت و داشته های مردم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یکی از ویژگیهای ساختاری در ادبیات شفاهی و نقالی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به آن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طومار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میگویند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دستبرد قهرمان روایت به اموال دولتی و توانگران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این همه، چند و چون این گونه رفتارهای غیر اخلاقی از روایت و متن به روایت و متنی دیگر، تفاوت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یکی از رسواترین متون نقالی شمرده می شود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چنین دستبردهایی، هیچ گونه وجهی نمی توان یافت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دستبردهای او هم شامل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ضرابخانه ی دولتی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ایران شیعی مذهب و وطن خودِ او می شود، هم شامل ضرابخانه ی دولتی در مناطق سنی نشین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حیدرآباد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اگر به خانه های مستمندان و طبقات آسیب پذیر اقتصادی دستبرد نمیزند، به خاطر رحمت بردن بر آنان نیست؛ چیزی ندارند که به یغما برد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تهمتن دوران آذربایجان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هر وقت نیازمند شود و بخواهد یک مشکل مالی برای دولتها به وجود بیاورد، قصد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ضرابخانه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کند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شال دستمال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خود را از زر و جواهر، پر کرده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مغاره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پنهانگاه و اقامتگاه خود در بیرون شهر می برد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گونه سرقتهای شبانه آن اندازه در سطح متن و داستان تکرار می شود که دل را به هم میزند و خواننده این پهلوان خیالی و مالیخولیایی را نفرین میکند و می نکوهد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یکی از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شاهکار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های او، غارت ضرابخانه در شهر مقدس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مشهد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که لابد یک قهرمان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پهلوان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شیعی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باید از ارتکابش شرم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کمند عدوی خارا شکاف را بر کمر پیچید و بیرون آمد و پا گذاشت به پای بام و کمند را بند کرد و مانند اجل سرازیر شد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در راه میرفت تا رسید به پای ضرابخانه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کمند و بند را از دور کمر باز نمود؛ چین چین، حلقه حلقه مانند زلف عروسان مهوش بر روی دست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کمند را انداخت بر طارم افلاک و تکانی داد و دید محکم است و رفت بالا و از آن طرف سرازیر شد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در میان ضرابخانه گردش میکرد که دید بیست نفر از اهل ضرابخانه خوابیده اند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همه را بیهوش کرد و خنجر میر باقر را از غلاف بیرون آورد و سر هر بیست نفر را مانند سگ برید و رفت شال دستمال را پُر زر کرد و مانند مرغ سبک روح بالا رفت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کوله ی بار زر را کشید بالا و نامه نوشت و انداخت در میان ضرابخانه و رفت به منزل خود و خوابید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65-64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کارنامه ی بسیار درخشان این غول بیابانی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شیر بیشه ی آذربایجان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خوانده شده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دقت کنیم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6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سرقت ضرابخانه در شهر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مشهد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زیارتگاه شیعیان جهان اسلام به شمار میرود، نکوهیده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ضرابخانه، محل ضرب 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در یک نهاد مالی و اقتصادی دولتی است و به عموم مردم تعلق دارد و غارت آن، غارت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بیت المال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بیت الناس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مسلمانان و به هر دلیل، بی وجه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یست نفری که در ضرابخانه بوده اند، نگهبانان این نهاد مهم دولتی بوده 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نقال بیسواد، به عمد آنان را در حال خواب ترسیم میکند تا هم تصویر ناشایستی از نهادی دولتی ترسیم کند، هم کار تهمتن آذربایجانی را ساده تر کرده باشد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6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 رفتار کلیشه ای و مکرر و زشت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بیهوش کردن و سپس سر بریدن نگهبانان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6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نقال ناهموار و ناتراش به 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گهبان ضرابخانه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اطلاق میکند و خبث درون خود را معرفی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6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کوله بار غارتی پهلوان سارق، آکنده از وجوهی است که حتی یک دینارش هم خرج تهیدستان و نیازمندان نمی شود و به هیچ وجه به رفتار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عیاران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شباهتی ندارد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6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وجوه غارت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این پهلوان سوداوی مزاج و چوپان بیابانی در تبریز، صرف میگساری و همکناری با رقاصگان و ساده رویانی مانند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یوسف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شود که هر دو برایش میرقصند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یوسف هم به رقص مشغول بود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تهمتن هر گاه نگاه به یوسف میکرد، دلش آب می شد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بعد از دقیقه ای، نگاه کرد و دید یوسف مجمعه دور میگرداند و هر کس  به قدر مقدور، چیزی در آن میریزد تا رسید مقابل تهمتن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دست در جیب کرد و هر دو دست پُر از زر را ریخت در مجمعه که مانند جام جمشید برق میزد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آفرین بر جوانمردی حسین گفتند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تهمتن داخل مغاره شد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بعد ج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یب را پر از زر کرد و رو به شهر نهاد و داخل خانه 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رعنا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زیبا شد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رعنا مانند پروانه دور تهمتن گردش میکرد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به چُستی و چالاکی آب قلیان را تازه و چاق نمود و به دست حسین داد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تهمتن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بنشین، قدری صحبت بدار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رعنا زیبا آمد پهلوی تهمتن نشست و دست به گردن تهمتن انداخت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رعنا زیبا برخاست پیاله را پر از شراب کرد و به دست تهمتن داد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تهمتن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آفرین بر تو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رعنا رقص خوبی 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دسته گلی در مقابل او نهاد و تواضع 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تهمتن دست در جیب 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یک مشت زر بیرون آورد و ریخت جای گل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رعنا زیبا پول را برداشت و آمد در دامن او نشست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 دلاور چند بوسه از کنج لبش ربود و به صحبت مشغول شدند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تهمتن او را گرفت در بستر خود برد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دست در گردنش کرد و خوابید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رعنا زیبا دست آورد بندِ او را باز کند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134-133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بسا بالا رفتن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از دیوار قصر و دستبرد به جواهر به کار رفته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خاج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صلیب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کلیسا و آوردن آن به قهوه خانه نیز زیر تأثیر همین کلیشه های نقالی در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شرم نامه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 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 چون شیر خشم آلود قدم در کوچه نهاد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دستش بالای قبضه ی شمشیر بود و می آمد تا رسید به درِ کلیسای اعظم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کمند از کمر گشود؛ چین چین و حلقه حلقه کرده انداخت به سرِ دیوار کلیسا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کمند، بند 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دست به کمند زد به قوت مرغ سبک روح خود را بالا کشید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شکم را به بالای دیوار گذاشت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بالای دیوار چون سیلاب اجل سرازیر شد و قدم در صحن کلیسا گذاشت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 نظر کرد؛ دید خاجی در صدر کلیسا آویخته اند که از صد من طلای ناب ساخته 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قدر بیست من جواهر بر او  کار کرده 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خود گفت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نامرد من، دو ماه متجاوز است در خانه ی خواجه کاووس هستم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منفعتی که باید از من به او برسد، نرسیده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خاج را برای او می برم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با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همه،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فرمانروای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ادب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نگاه میدارد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تمامی آنچه را به دست آورده از راه جوانمردی و حق شناسی،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خواجه کاووس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کارگزاران او در قهوه خانه میدهد تا در برابر چند ماه پناهندگی و مراقبت از وی، از آنان سپاسداری کرده باشد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تفاوت دیگر میان این شاهزاده و آن چوپان بیابانی، این است که خود سیمایی چون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یوسف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دارد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خواجه کاووس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داشتن او در قهوه خانه ی بزرگ و باشکوهی که شاهان و وزرا به آن آمد و شد دارند، جمعی از نظربازان و شاهد دوستانی را به قهوه خانه می آورد که منبع مهمی برای درآمد او شده 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محجوب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مقدمه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نویسد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دوران صفو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مردم باذوق و صاحبدل، در قهوه خانه ها گرد می آمدند و صاحب قهوه خانه برای رواج بازار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خودش، شا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گردان خرد سال نکو روی و زیبا به کار میگماشت و گاه بعضی مشتریان قوه خانه، مفتون شاگرد قهوه چی می شدند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آن دوران و بعد از آن و حتی در سالهای نزدیک به عصر ما، این گونه جمال پرستی وجود داشت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همین رو است که با خدمت کردن امیر ارسلان در قهوه خانه ی فرنگ، مشتریان این دستگاه فزونی میگیرد و مردم دسته دسته از زن و مرد برای دیدار این شاگرد قهوه چی زیباروی، هجوم میآوردند و هر جام شرابی که از دست وی می ستانند و می نوشند، جام را پُر از اشرفی کرده به دستش میدهند و امیر ارسلان پس از یک روز کار کردن در قهوه خانه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قریب بیست هزار تومان عاید خواجه کاووس میکند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نقیب الممالک،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16-15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مقدمه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 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پیج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می نویسد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اوایل قرن یازدهم هجری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قهوه خانه، مرکز و پاتوقی برای سرگرمی وضیع و شریف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nobility and commoners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سالها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1632-1631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میلادی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1041-1040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روزگار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 دوم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"]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آدام اولیریوس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Olearius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هن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گام توصیف میدان اصلی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اصفهان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زمینه را برای ارائه ی گزارشی در مورد انواع سرگرمیهای رایج برای ساکنان پایتخت صفویه در این شهر، فراهم می آورد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می گوید نزدیک بازار، مشروب فروشی هایی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(("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Schirechane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بودند که نوشابه های الکلی و نوجوانان رقصنده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dancing boys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عرضه و به معرض نمایش می گذاشتند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پیج،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20-19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چون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یوسف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تماشاخانه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ساقیگری مشغول است و به خطر بهره مندی از حُسن یوسف وار، مورد اقبال خاص و عام و انعام به ویژه نظربازان و زنان قرار میگیرد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ارسلان، سینی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قهوه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به دست گرفت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مینا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[=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پیاله ی شراب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جام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مزه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میانش نهاد و به خدمت قمر وزیر آمد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ساغر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پر از شراب کرد و به دست قمر وزیر داد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28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علا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یق و باورهای مذهبی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با رو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کار آمدن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اسماعیل صفوی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چیرگی مذهب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تشیع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تسنن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ضرورت سَبّ و شتم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لعن و نفرین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سه خلیفه ی اول و مدح و منقبت عترت پیامبر و ائمه، گونه ای ایده ئولوژی مذهبی با سیاست و اخلاق و عُرف در جامعه پدید آمد که حبّ و بغض مردم را نسبت به این یا آن قوم و مذهب برانگیخت و شکافی در یگانگی پیشین پدید آورد که باعث برخوردها و مناقشات دینی، نظامی و قومی در درون و بیرون کشور ایران 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نمودهای این گونه موضعگیری عقیدتی را در جای جای 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حماسه ی مذهبی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توان ردیابی کرد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در سراسر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حماسه ی دینی، همه ی آنان که بر مذهب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تسنن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هستند، به ظاهر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چهار یار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خلفای راشدین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یاد میکنند اما در هیچ مورد خاص و مشخصی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حضرت علی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یاد نمیکنند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اگر مأموری به ایلچیگری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پیغام رسانی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بخواهد از دروازه ی شهر بیرون رود یا به درون آید، باید از رمز ورود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چهار یار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استفاده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دروازه بان، سرِ راه بر او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گرفت که از کجا آمده ای؟</w:t>
      </w:r>
    </w:p>
    <w:p>
      <w:pPr>
        <w:numPr>
          <w:ilvl w:val="0"/>
          <w:numId w:val="30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دوستدارم چهار یار نبی را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ابوبکر و عمر و عثمان و علی را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دروازه بان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برو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در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حماسه ی مصنوع، شیعیان 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رافضی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خطاب میکنند؛ یعنی آن که گویا مذهب رسمی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تسنن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ترک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کرده است؛ چنان که به خداوندگار سخن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فردوسی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پاکزاد نیز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رافضی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میگفتند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خنجر بهادر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نامی که از طرف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ببرازخان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چهار سوق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اصفهان اعزام شده است تا با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مبارزه کند، خود را در برابر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یابد و او 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رافضی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میخواند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خنجر بهادر دست به قبضه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 تیغ آبدار نمود و حواله ی حسین 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حسین، فرصت نداد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یا علی مدد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که خنجر بهادر از او ترسید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حسین تیغ را انداخت در میان دو ابرو و دماغ و لب بالا، و آن راکشید بر جگرگاه آن ولدالزنا جا نمود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آنجا که محبت علی را قسمت کرده بودند، به قدر خردلی بر دل خنجر بهادر نداده بودند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 هشت نفر ازبک دیگر چون دیدند که خنجر بهادر جان به مالک دوزخ سپرد، دور حسین را گرفتند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 دلاور مانند شیری که در گله ی روباه افتاده باشد، همه را به درَک فرستاد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37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ببینیم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 دکمه بند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پهلوانان شیعی مذهب نزدیک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چگونه یاد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رافض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ی، نوچه ی اول، مسیح دکمه بند تبریزی، دولت ما را به باد داده؛ کوسه خضر را کشته؛ در بلخ آتشی روشن نموده که دودش چشمه ی خورشید را تیره و تار نمود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الحال، ما کسی را نداریم که روانه کنیم در ایران، تقاص خون آنها را کند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اگر مردی از مردان عالم را نشان داری، خون چهار نفر را تقاص کن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برخ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از شهرهای کشور در نواحی شرقی ایران مانند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بلخ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ختا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نواحی ازبک نشین ایران بر مذهب تسنن بوده 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فرماندهان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بلخ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تاخته تا امرای اهل تسنن را سرکوب و نمایندگان شیعی مذهب خود را تقویت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اکنون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عبدالله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فرمانروای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ختا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میخواهد قاصدی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بلخ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نزد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جهاندار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گسیل دارد تا پهلوان یا پهلوانانی را برای قتل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داوطلب کنند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دو پهلوان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ببراز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اختر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نام دارند که راوی متعصب شیعی آن دو 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ولدالزنا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حرام زاده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نامد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نخستین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تبریز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میرود تا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تباه کند و و دومین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اصفهان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هلاک کند که سیصد و بیست نوچه دارد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یاری خواستن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عثمان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خلیفه ی سوم، وِرد زبان فرماندهان و پهلوانان اهل تسنن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جهاندار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میخواهد این دو پهلوان را برای انجام مأموریت جهادی خود روانه کند،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یقین دارم فتح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بروید تا به نزد عثمان روسفید باشید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در جایی دیگر وقتی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ببراز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میخواهد گروهی را برای غارت خانه های مردم اعزام کند،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بروید که عثمان نگهدارتان باشد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وقت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داستان درویشی شیعی مذهب به نام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درویش بلبل عراقی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می شنود که در بازاری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مشهد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مدح و ثنای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علی بن ابیطالب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میگفته و داروغه ای به نام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گوش و بینی او را بریده، عزم جزم کرده از اصفهان به این شهر می آید تا مُثله کننده را کیفر دهد تا دیگر کسی جرأت نکند چنین رفتاری با شیعیان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نامه ای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از دستبردی به ضرابخانه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مشهد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قراچه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حاکم شهر نوشته، چنین میخوانیم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 قراچه خان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دانسته و آگاه باش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کار، کار تهمتن دوران، یکه تاز عرصه ی میدان، دیو سفید آذربایجان حسین کُرد است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آمده تقاص گوش و دماغ درویش بلبل عراقی را بنماید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 قراچه خان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آتشی در این ولایت روشن کنم که دودش چشمه ی خورشید را تیره و تار کند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65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او هر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چند عامل این گوش و بینی بریدن را به مجازات میرساند، از آن همه زر و سیم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مشت مشت به رقاصان و رقاصگان می بخشید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به شخص درویش چیزی نمیدهد و تنها مقداری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ریش و سبیل و ناخنها را در قدم درویش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اندازد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نشانه ی مجازات عاملان مُثله کردن درویش بوده است و دانسته نیست که این همه، چه چیز از کار فروبسته ی او میگشاید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نور دیده ی اسلامیان و منظور نظر مرشد کامل، فرزندزاده ی اسدالله الغالب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 حضرت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امام رضا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اشاراتی عاشقانه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کافی است این نظر کرده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آن حضرت متوسل شود تا درست هنگامی که دارد بیهوش می شود، مورد تأییدات امام هشتم شیعیان قرار گیرد و از آسیب مهاجمان رهایی یابد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مأموران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قراچه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سقف حمام را بر سرش خراب میکنند اما به لطف آن امام هُمام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ازب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کان از معجزه ی امام رضا، پی او را گم کردند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بام را بر حسین خراب کردند اما هیچ اذیت به حسین نرسید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77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هم، مبارزه با مسیحیان و به تعبیر رایج آن زمان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بددینان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نمادهای آیین و قتل و آزار مسیحیان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نشانه های تضاد دینی و مناقشات مذهبی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سپاه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فرنگ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 سرزمین و مردم مسلمان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پیروز می شوند، کار نهادهای مذهبی، کلیساها، پدران مقدس و راهبان و راهبه ها قوت میگیرد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هجده سال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شهر روم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قسطنطنیه، اسلامبول، استانبول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تصرف فرنگیان بود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چندین کلیسا بر پا کرده بودند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یکی از اقدامات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مقام فرمانروای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از پیروزی بر سپاه فرنگان، از میان بردن پاپها، کشیشان و ویران کردن نهادها و نشانه های مذهبی آنان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خاجها و بتها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طلا و صورت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صلیب و تندیس و شمایل قدّیسان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های قیمتی دید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فرمود همه را غارت کردند و کشیشان و برهمنان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راهبان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همه را کشت و کلیسا را با خاک یکسان کرد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 </w:t>
      </w:r>
    </w:p>
    <w:p>
      <w:pPr>
        <w:numPr>
          <w:ilvl w:val="0"/>
          <w:numId w:val="32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حس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ین کُرد، آرمانی ملّی دارد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اصفهان چندان نافرمانی میکند و متعرّض کسان و نهادهای مالی می شود و به خانه ی این و آن توانگر دستبرد میزند و خشم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برمی انگیزد که عرصه را بر خود تنگ یافته بی آن که کسی به او مأموریتی سیاسی واگذارد، سرِ خود راه افتاده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رود تا گویا مالیات ناداده ی هفت ساله از فرمانروای این کشور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اکبر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اکبر بن همایون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بستاند و با خود به خزانه ی شاه بیاورد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آنجا که مذهب تشیع در این روزگار به مذهب غالب تبدیل شده است، هر چیز، رنگی از دیانت به خود میگیرد و اقدامات ملّی در پوششی از مذهب نمود می یابد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درواقع،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هویت دینی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هویت ملّی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میگیرد و به این ترتیب، پیروزی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سربازان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قزلباش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شیعی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بهرام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حیدرآباد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هند بر همکارش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اکبرشاه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پیروزی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تشیع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تسنن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قلمداد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پیش از رفتن به هند یک بار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میکوشد او را به دربار و حضور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بکشاند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من طفل 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یستم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بروید به شاه عباس بگویید که رفتم به هند مالیات هفت ساله را بگیرم و از برای تو بیاورم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اما به شاه عباس بگویی که رفتم در هند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اگر یک مو از سرِ یوسف کم کردی، از هند که برگشتم، می آیم سر تو را می برّم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90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از هم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عبارت و شیوه ی سخن پردازی عوامانه و گستاخانه می شود منش نافرهیخته و تباه این پهلوان دروغین و توده پسند را دریافت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رب مباد که گدا معتبر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!"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البته وقتی گذرش به هند هم می افتد، بنا بر همان خصلت ذاتی و تباه خود از دستبرد زدن به خانه ی توانگرانی مانند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میرحسین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دست نمی شوید و پس از تراشیدن ریش و سبیل او، کوله باری از  زر و گران بهاترین گوهرها برداشته از خانه ی او میرود و یک کوله ی دیگر همانند آن به همراهش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بهیار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میدهد تا برایش بیاورد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موفق می شود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بهرام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در سیاه چال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میرحسین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زندانی شده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نجات داده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از رهایی دو پسر او، زمینه را برای تغییر توازن قدرت سیاسی در دربار هند فراهم آورد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لطف امدادهای غیبی و تأییدات ائمه ی اطهار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نبرد میان اهل سنت و افغانی و شیعیان پاک اعتقاد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چهار هزار قزلباش در میدان ریختند و چهار هزار افغان را از زیر تیغ گذراندند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چند نفر رفتند و گردش کردند و یک نعش از قزلباش نیافتند و برگشتند و به عرض اکبر رسانیدند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با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فتح درخشان، عرصه بر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اکبر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تنگ شده ناچار می شود خراج هفت ساله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دهد و خود را همچنان تابع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بداند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کبر پیشکش بسیار با مالیات هفت ساله ی هند تحویل حسین داد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با حسین قرار داد که مالیات هر ساله ی هندوستان را خود به پایتخت شاه عباس بفرستد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اما آن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چه در این جُستار برای من اهمیت دارد، آن بخش از رخدادهای پایانی این حماسه گونه است که جنبه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استعماری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دارد؛ یعنی برجسته کردن نقش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شکست دادن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فرنگیان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کوشیده اند به سرزمین هند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بنگاله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راه یابند و در تقابل با نیروهای شیعی مذهب ایرانی قرار گیرند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داستان فرنگیان و ورودشان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بنگاله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مِلک طِلق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بهرام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آنجا آغاز 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شود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رستم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نامی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بنگاله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دختر زیبایی به نام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جهان افروز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دارد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خان میرزا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پسر و کارگزار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بهرام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دل به نزد او برده اما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رستم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دادن دختر به او خشنود نیست و چون در خود یارای پایداری در برابر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بهرام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نمی بیند از پادشاه فرنگ کمک می طلبد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 فرنگ، دوازده هزار فرنگی را به اتفاق رستم خان به بنگاله فرستاد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فرنگیها ملازمان بهرام خان را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که در آنجا بودند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از بن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گاله بیرون کردند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بشنو از رستم خان که دوازده هزار لشکر فرنگی برداشت و رو به قلعه ی قزلباش نهاد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خبر به بهرام دادند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قزلباش را سان دید و میرزا محمدخان را سردار آنها نمود و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باید شب و روز بتازید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القصه، تلاق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 فریقین شد و دلاوران قزلباش دست به شمشیر نمودند و نعره 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یا علی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کشیدند و خود را زدند بر دوازده هزار لشکر فرنگی و از کشته، پشته می ساختند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چون رستم خان چنان دید، پا به گریز نهاد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لشکر قزلباش او را تعقیب نمود و بنگاله را تصرف نمودند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213-212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مضمون مبارزه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ملّی بر ضد اشغالگران مسیحی و فرنگ و بیگانه و از جمله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پطرس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پادشاه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قلاد سیّم فرنگ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پیروزی سرداران وفادار به خانواده ی شاهی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فرمانروای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روم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کشور عثمانی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احتمال تا اندازه ای زیر تأثیر همین مبارزات ملّی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بهرام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سردار قزلباش و نماینده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 عباس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سرزمین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حماسه ی دینی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شاهزاده ی رومی پس از آنکه در رویارویی با سپاه متجاوز فرنگ به سرداری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سام 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ده تن از پهلوانان سپاه او را میکشد، شخص او را به مبارزه فرامیخواند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 ارسلان سپر را به مُهره ی پشت انداخت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پنجه ی پلنگ آسا را انداخت و بند دست سام خان را گرفت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 شمه زور زد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پنج انگشت سام خان چون پنج خیار، راست ایستاد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تیغ را جبراً و قهراً از کفش بیرون کشید و زد به فرقش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وقتی دو لشکر خبردار شدند که برقی تیغ از تنگ مرکبش جستن کرد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مرد و مرکب، چهار پاره شدند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 یک تنه زد به قلب لشکر فرنگیان که خواجه نعمان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پدر خوانده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فرمود لشکرِ نصرت ظفر از جا درآمدند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ریختند در میدان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ارسلان به هر طرف رو میکرد، از کشته پشته می ساخت تا خود را به عَلَمدار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[=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پرچمدار لشکر فرنگ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رسانید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علم را با علمدار چهار پاره گردانید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فرنگیان چون علم را سرنگون دیدند، رو به گریز نهادند که خود را به اردوی رومیان برسانند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 امیران رومی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سوار شدند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دست به شمشیر کرده، به قلب سپاه فرنگیان زدند و راه گریز را بر ایشان بستند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پشت سر، امیر ارسلان و سپاه مصر از پیش، امیران و سپاه روم تیغ نهادند به لشکر فرنگ که از سی هزار فرنگی، کسی جان سالم بیرون نبرد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وقت عصر، امیر ارسلان و غازیان اسلام چون شیر نر با چنگ و چنگال خون آلود داخل دروازه ی استانبول شدند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41-39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34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پهلوان، نافرمانی میکند و به مصیبتی گرفتار می آید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در هر دو اثر حماس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ی، قهرمان مانند بسیاری از پهلوانان در ادبیات عامیانه گاه زیر تأثیر سویه های منفی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ناخودآگاهی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خود بزرگ بینی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خودشیفتگی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نداشتن تجربه و جوانی به کارهایی دست میزند که سنجیده نیست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این گونه موارد، معمولاً بزرگترانی یافت می شوند که به قهرمان هشدار میدهند تا خطر نکند یا ساده لوحانه زیر تأثیر گفتار و ترفند ضد قهرمان قرار نگیرد، اما قهرمان جوانسرانه سرپیچی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بهزاد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نامی حرامی و راهزن است و یک بار در ساحل دریا، اسباب سفر و داشته های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از سلاح و اسب به یغما برده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اکنون به تصادف سارق را یافته و در نبردی تن به تن او را شکست داده، بر سینه ی او نشسته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بهزاد از 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کر و حیله مسلمان شد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حسین او را بخشید و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آنچه از ما برده ای، بده تا برویم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بهیار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همراه و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یاریگر قهرمان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بیا تا این ظالم را بکشیم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از حیله، مسلمان شده است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میخواهد تو را بگیرد و زنده نخواهد گذاشت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این خار را از سرِ را مسلمانان بردار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حسین نشنید و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شراب بیاور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بهیار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آقاجان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شراب نخور، ضرر دارد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دردم،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یاران بهزاد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دارو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بیهوشانه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در شراب ریختند و آوردند و شروع کردند به خوردن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آنچه دارو دار بود، به حسین دادند و آنچه بی دارو بود، خودشان خوردند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همین که دارو گل نمود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اثر 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، دید از زبانش تا حلقه ی نافش خشکیده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دست به تیغ رسانید که پایش به هم پیچید و به زمین خورد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بهزاد آمد؛ حسین را در زنجیر 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پس حسین را محکم بست و در گاوصندوقی جای 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110-109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سهیل وزیر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بداندیش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الهاک دیو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خدمت میکند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دشمن میدارد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قهرمان را بر می انگیزد که به خاطر نجات جان مردمی که گویا طعمه ی این اژدهای سیری ناپذیر شده اند، او را از بین ببرد و در باره ی این اژدها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حالا مدت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 سال است که هفته ای یک روز به شهر می آید؛ زن و مرد و بچه  و هرچه را گیرش می آید، میخورد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تو که امیر ارسلانی و سکه ی مردی در تمام عالم کوبیدی، اگر علاج این اژدها را کردی، من و اهل این مملکت همه مسلمان می شویم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537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هشدار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ملک اقبال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اهمیتی نمیدهد و از روی برمنشی و خود بزرگ بینی با اژدها در می آویزد و هرچند می تواند با تیر یک چشم او را هم کور کند، باری بلعیده می شود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540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البته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حبس قهرمان در شکم اژدها مانند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یونس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شکم آن ماهی، آزمونی برای ضرورت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مراقبت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تأمل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حال خویش است و اشاراتی فرابینانه دارد؛ در حالی که در حماسه ی دینی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کوچکترین نمودی از معانی تلویحی و تلمیحی وجود ندارد و کشتن بدخواهان، تنها معرف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قلدری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قهرمان است نه تواناییهای معنوی او؛ چنان که پنجاه بار گرداندن پیلی عظیم به دور سر، رفتاری غیر قابل باور و از زمره ی اوهام و خیالات باطل راوی ای است که برای بازار گرمی نقالی خود 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ین یکمرتبه چهار دست و پای فیل را گرفته به قدر پنجاه قدم چرخ زد و ناگاه فیل را چنان زمین زد که نرم گردید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218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numPr>
          <w:ilvl w:val="0"/>
          <w:numId w:val="36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انسجام لفظ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ی و گریز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پیوند میان اجزای عبارت، بند و متن به چند نوع برقرار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نخست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انسجام لفظی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cohersion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ارتباط میان جمله ها و عبارات و صفحات متن را به یاری واژگان و تعبیراتی خاص برقرار می سازد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گونه پیوندها خود، دو گونه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پیوند گاه همان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حروف ربط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ضمیرها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هر کلمه ای است که بخشی از جمله یا عبارت را به دیگر واژگان و بخشها مربوط میکند؛ مثلاً اگر بگوییم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پرویز نزدیک پارک زندگی میکند و او هر روز به آنجا میرود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حرف ربط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دو جمله را به هم پیوند میدهد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ضمیر شخصی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پرویز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ارجاع میدهد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آنجا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عنوان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ضمیر اشاره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     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قید مکان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پارک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برمیگردد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این گونه پیوندها در سطح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انسجام لفظی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میگوییم که در فاصله ای نزدیک به هم می آیند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مانند حروف شرط، حروف ربط وابستگی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گاه پیوند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انسجام لفظی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سطح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macro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رخ 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یدهد؛ یعنی هنگامی که واژگانی خاص، عبارات و صفحاتی را از متن به هم پیوند میدهد که فاصله ای بعید یا دور با هم دارند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آنچه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انسجام لفظی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اهمیت دارد، تعبیراتی است که اجزای مختلف متن را به هم پیوند میدهد؛ مانند اتصالات و زانویی و چپقی که لوله های مختلف را به هم متصل میکند؛ جنبه ی لفظی دارد و نقشی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معنی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دلالتهایی معنایی متن ایفا نمیکند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هالیدی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Halliday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رقیّه حَسَن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تأکید میکنند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انسجام لفظی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اصلاً به سویه های معنایی متن نمی پردازد؛ بلکه تنها بر این نکته تأکید میکند که چگونه یک متن به عنوان یک ساختمان، بنا و روی هم سوار شده 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هالیدی؛ حسن،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طومار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متون نقالی، گاه نقال از واژگانی استفاده میکند که خاص حرفه ی نقالی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تعبیرات، بخشهای گوناگون متن یا روایت شفاهی را به هم پیوند میدهد و مانند رشته ای، اجزای مختلف کلام و روایت را به هم پیوند میدهد، مانند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اما بشنو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را داشته باشید؛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حالا بپردازیم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رخدادها و بخشهای یک روایت را به هم وصل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این گونه فاصله گذاری روایی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گریز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digression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یگویند؛ یعنی وقتی راوی میخواهند به یک فاصله ی زمانی یا مکانی در زنجیره ی رخدادها اشاره کند؛ به گذشته برگردد، به آینده اشاره کند یا به زمان حال بازگردد و با ایجاد حس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تعلیق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suspense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مخاطب، علاقه ی او را به ادامه ی نقل برانگیزد و او را در حالت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هول و ولا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نگاه دارد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محجوب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نقل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کریستوف بالائی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Christophe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نویسد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گر فاصله ی بین حوادث زیاد نباشد، یک کلمه ی ساده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امّا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آن جانب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برای راوی کافی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هنگامی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گریز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طولانی بوده باشد و راوی قسمتی از داستان را رها کرده تا به قسمت دیگری بپردازد که معلّق مانده است، بدون تعارف، شنونده را مخاطب قرار میدهد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جا را داشته باش تا عرض منم امیر ارسلان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هنگامی که راوی بخواهد زمان را متوقف کند و آن را کوتاه گرداند، برای پیش بردن داستان خود به سادگی، ترکیب متداول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القصّه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به کار می برد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هر گاه بخواهد قهرمانش را برای مدت کوتاهی رها کند، نیز شنونده را معطل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 با شمس وزیر را برداشتند و به سوی فرنگ می آمدند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تا به این داستان برسیم، چند کلمه عرض کنیم از پطرس شاه فرنگی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محجوب، مقدمه، پنجاه و هشت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پنجاه و نه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مارزولف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تحق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یق خود در باره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برخی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نشانگرهای روایی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آمارگیری کرده و از جمله نوشته که نشانگر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 چند کلمه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بشنو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بار،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اینها را داشته باش امّا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مرتبه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بشنو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بار تکرار شده اند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  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یاماموتو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تفاوت میان این گونه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نشانگرهای روایی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narrative markers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نشان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گرهای زمانی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")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temporal markers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شاهنامه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با متون نقالی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طومار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نویسد اگر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فردوسی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نشانگرهایی روایی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وَ زان پس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زان روی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استفاده میکند به این دلیل است که در قالب افاعیل عروضی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فعولن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بحر متقارب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میگنجد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زان روی پیران به کردار گرد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همی راند لشکر به دشت نبرد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)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اگر از نشانگرهایی از نوع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 بشنو از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 چند کلمه عرض کنیم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استفاده نمیکند، به این دلیل است که با قالب وزن عروضی و محدودیتهای وزن و موسیقی شعر سازگار و متناسب نیست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یاماموتو،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چند نمونه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گریز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ها در مورد کسان و جایها دقت کنیم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اکنون داستان به جایی رسیده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اخترخان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ببرازخان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قرار است از هم جدا شده، هر یک برای انجام مأموریت، به شهری روانه شوند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8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حال اخترخان را در 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ینجا بگذار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چند کلمه از ببرازخان بشنو که رو به تبریز نمود و همه جا آمد تا بر بلندی رسید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سواد شهر را دید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آراسته و پیراسته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بَلَدی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راه شناس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را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این، چه شهر است؟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شهر تبریز است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numPr>
          <w:ilvl w:val="0"/>
          <w:numId w:val="38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اما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چند کلمه از اصفهان بشنو که اخترخان، ببرازخان را وداع کرد و به اصفهان رفت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تا روز  سوم گردش میکرد در شهر تا خوب بلدیّت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آشنایی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به هم رسانید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43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numPr>
          <w:ilvl w:val="0"/>
          <w:numId w:val="38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اما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چند کلمه از تبریز بشنو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در آن شبی که زن مسیح از حسین سیلی خورد، مدتی از این مقدمه گذشت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57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یب الممالک شیرازی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در قصه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نه ضرورتاً زیر تأثیر راوی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 شبستری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بلکه به عنوان یک هنجار در نقالی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در حال گریه و زاری و قصد خودکشی در باغ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قمر وزیر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حال خود رها میکند که میخواهد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پطرس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بپردازد تا حال و روز او را پس از قتل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فرخ لقا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بازگوید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0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 را در گریه داشته باشید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حال، چند کلمه از پطرس شاه و اهل حرم بشنوید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bidi w:val="true"/>
        <w:spacing w:before="0" w:after="16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جا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یی دیگر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نقیب الممالک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میخواهد داستان گفت و گوی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پطرس 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با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قمر وزیر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داروغه باشی متوقف کند و باز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بپردازد که در خانه ی حامیان خویش در حال گفت و گو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2"/>
        </w:numPr>
        <w:bidi w:val="true"/>
        <w:spacing w:before="0" w:after="16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آن طرف، 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 نامدار در قهوه خانه با خواجه کاووس و خواجه طاووس صحبت میداشت که ناگاه قیامت بر پا شد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42"/>
        </w:numPr>
        <w:bidi w:val="true"/>
        <w:spacing w:before="0" w:after="160" w:line="360"/>
        <w:ind w:right="0" w:left="77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پیش آگهی و تعلیق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پیش آگهی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foreshadowing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یک شگرد روایی در داستان است که مطابق آن، راوی داستان پیشاپیش از رخدادی به اشاره سخن میگوید تا مخاطب خود را گوش به زنگ نگاه دارد و رغبت او را برای دنبال کردن مشروح خبر برانگیزد و به این ترتیب،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گسترش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development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داستان خود کمک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پیش آگهی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نیز خود دو گونه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گونه ای از آن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پیش آگهی نزدیک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نوع دیگرش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پیش آگهی دور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دور نامیده می شود و تفاوت آن دو، در میزان و اندازه ی فاصله 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پیش آگهی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تحقق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آن در متن و روایت است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برانگیختن حس تعلیق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نقالی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اهمیتی بیش از متون مکتوب دارد، زیرا شنونده را پیوسته باید در حال انتظار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تعلیق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نگاه داشت و او را نه تنها در همان جلسه ی نقل بر جای خود میخکوب کرد، بلکه با همین حس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تعلیق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را برای روزی دیگر به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قهوه خانه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میدان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معرکه گیری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کشاند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Perrine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نویسد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حالت 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 و انتظار در داستان هنگامی پیش می آید که خواننده از خود می پرسد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بعد چه اتفاقی می افتد؟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چگونه این اتفاق می افتد؟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حالت، او را ناگزیر میکند که داستان را دنبال کند تا برای پرسش های خود، پاسخی بیابد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تعلیق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هنگامی به اوج خود میرسد که کنجکاوی خواننده به تشویش خاطر او می انجامد و نسبت به شخصیت داستان، همدلی نشان میدهد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داستان های پیچیده تر، خواننده به جای طرح پرسشهایی چون سؤالات پیش، از خود می پرسد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چرا چنین اتفاقی افتاد؟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پرین،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روز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چند تن از خویشان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شبستر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دیدن او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تبریز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 آیند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اتاقی از آنِ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زندگی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برای خورد و خوراک میهمانان خود از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خطا خانم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همسر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میخواهد دَبّه و زنبیلش درافزاید و وسایل خورد و خوراک، بیشتر به او بدهد اما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خطا خانم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دندان گردی نشان داده از دادن مایحتاج، خودداری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چنان که تنها از او بر می آید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اندرون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رفته با تشدّد حرف میزند و به زور متوسل               می شود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ین تپانچه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سیلی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به صورتش زد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زن مسیح برخاست و خود را در قدم حسین انداخت و شروع کرد به گریستن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. .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حسین داخل اتاق شد و خورجین اسلحه را برداشت و بیرون آمد و گفت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ما رفتیم سرِ مسیح را برایت بیاوریم و از خانه بیرون آمد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046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رخداد،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پیش آگهی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در همان حال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رخداد دلالتگر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significant event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است؛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یعنی منش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را هم معرفی میکند و نشان میدهد که این چوپان کُرد و ناتراش، از وارد شدن به اندرونی و زدن همسر میزبان و نجات دهنده ی خود هم روگردان نیست و در همان حال مخاطب را گوش به زنگ و منتظر باقی می نهد که نخست، بازتاب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مسیح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قبال این درازدستی چه خواهد بود و دوم، این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چه بلایی سر پدر معنوی خود خواهد آورد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از سو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دیگر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خطا خانم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برای این که امساک خود را در فراهم آوردن نیازمندیهای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بپوشاند، در نامه ای به شوهرش در اصفهان، او را به دست درازی و زِنا خود منسوب کرده، میکوشد آسیب شوهر از کوتاهی خود دور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آمد بالا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 سر من از جهت زِنا و من ابا کردم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57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پیش آگهی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اکنون نه تنها دو پهلوان نامدار را در برابر هم قرار میدهد، بلکه بر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تعلیق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حس کنجکاوی مخاطب می افزاید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یک مورد دیگر، درویشی به نام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درویش بابل عراقی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کوچه و خیابان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مشهد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مدح خاندان رسول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میگوید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من در بازار مشهد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گردش میکردم و مدح علی میگفتم و برگ سبز میدادم که مرا گرفتند و دست مرا بستند و نزد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یاری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داروغه ی مشهد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نیم چشم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[=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تنگ چشم، صفتی برای ازبکان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]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بردند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 ازبک به من گفت دست از دامن علی بردار و مدح چهار یار کن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من گفتم دست از دامن مولا بر نداشته ام و بر نخواهم داشت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آن حرام زاده گوش و دماغ مرا برید و از شهر بیرون کرد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آمدم بروم به نجف، شکوِه ی او را به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علی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بکنم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"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63-62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طب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یعی است که نقل رخداد تأثرانگیزی از طرف یک ستمدیده آن هم برای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که اهل تسنن به ویژه امرای آنان را دشمن میدارد، انتظاراتی برای خواننده  به وجود می آورد که توقع میرود برآورده شود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داروغه ی ستمگر را مکافات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این حال، مخاطب یا خواننده بر حال درویش رحمت می برد و منتظر است ببیند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چگونه از این داروغه انتقامجویی میکند و چگونه میکوشد موجبات تشفی خاطر او را فراهم سازد که متأسفانه به دلیل سستهایی که در نقالی راوی هست، بخشی از انتظارات مخاطب برآورده نمی شود 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حسین کُرد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غارتهای خود، بهره ای به درویش نیازمند نمیدهد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در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 ارسلان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تعلیق بسیار برجسته می توان یافت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نخست هنگامی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قمر وزیر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پس از آگاهی از باطل السحری که بر گردنبند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فرخ لقا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هست، موفق به برداشتن آن از گردن شاهدخت می شود و سپس بی درنگ، قصد او میکند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آن جانب هم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که صبح شد، کنیزان ملکه به عادت همیشه، داخل تالار شدند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دیدند خون چون دریا موج میزند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نظر کردند بالای تخت، کشته ی ملکه را دیدند که ملکه را گوش تا گوش سر بریده 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قامت چون سروش از پا درآمده و در خون، غوطه میخورد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آه از جان دایه و کنیزان برآمد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یک باره صدا را به شیون و غلغله بلند کردند و همه گیسوان کندند و  گریبان دریدند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دوم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تعلیق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بزرگ وقتی است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شمس وزیر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که به دانایی و دینداری و فرابینی شناخته می شود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میخواهد چاره ی کار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فرخ لقا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 او را مداوا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شمس وز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یر، نعش را به طرفی گذاشت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فرمود هیزم بسیاری آوردند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هیزم را روی دخمه ی نقب چید و آتش زد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هیزمها اتش گرفته، آتش از باغ گذشت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کتابی از بغل بیرون آورد و شروع به خواندن کرد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. 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خود برخاست و نعش را در بغل گرفت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تا پطرس شاه گفت چه میکنی، که نعش را انداخت در میان آتش که شعله ی آتش بلند شد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شمس وزیر گفت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پادشاه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حقیقت خیلی بد کاری کردم که نعش دخترت را در حضورت سوزانیدم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بهتر است خودم هم بسوزم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چند قدمی عقب رفت و دامن را برچید و دوید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تا پطرس شاه و امیران گفتند مرو، که پرید در میان آتش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آه از جان پطرس شاه و امیران برآمد و حیران ایستادند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287-286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منابع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دوستخواه، جل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یل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ویراستار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شاهنامه ی نقالان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طومار مرشد عباس زریری اصفهانی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تهران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انتشارات ققنوس،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1396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ر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یپکا، یان؛ اوتاکار کلیما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i/>
          <w:color w:val="495057"/>
          <w:spacing w:val="0"/>
          <w:position w:val="0"/>
          <w:sz w:val="24"/>
          <w:shd w:fill="FFFFFF" w:val="clear"/>
        </w:rPr>
        <w:t xml:space="preserve">تاریخ ادبیات ایران</w:t>
      </w:r>
      <w:r>
        <w:rPr>
          <w:rFonts w:ascii="Calibri" w:hAnsi="Calibri" w:cs="Calibri" w:eastAsia="Calibri"/>
          <w:i/>
          <w:color w:val="495057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i/>
          <w:color w:val="495057"/>
          <w:spacing w:val="0"/>
          <w:position w:val="0"/>
          <w:sz w:val="24"/>
          <w:shd w:fill="FFFFFF" w:val="clear"/>
        </w:rPr>
        <w:t xml:space="preserve">از دوران باستان تا قاجاریه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ترجمه ی عیسی شهابی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تهران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انتشارات علمی و فرهنگی، چاپ سوم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زمستان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1385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س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یف الدینی، علیرضا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[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ویراستار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]. </w:t>
      </w:r>
      <w:r>
        <w:rPr>
          <w:rFonts w:ascii="Calibri" w:hAnsi="Calibri" w:cs="Calibri" w:eastAsia="Calibri"/>
          <w:i/>
          <w:color w:val="495057"/>
          <w:spacing w:val="0"/>
          <w:position w:val="0"/>
          <w:sz w:val="24"/>
          <w:shd w:fill="FFFFFF" w:val="clear"/>
        </w:rPr>
        <w:t xml:space="preserve">حسین کُرد شبستری</w:t>
      </w:r>
      <w:r>
        <w:rPr>
          <w:rFonts w:ascii="Calibri" w:hAnsi="Calibri" w:cs="Calibri" w:eastAsia="Calibri"/>
          <w:i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تهران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انتشارات ققنوس،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1394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محجوب، محمدجعفر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ادب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یات عامیانه ی ایران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کوشش دکتر حسن ذوالفقاری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تهران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نشر چشمه،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1382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نق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یب الممالک شیرازی، محمدعلی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به کوشش و مقدمه ی محمدجعفر محجوب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تهران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: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مؤسسه ی فرهنگی هنری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س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ینمایی الست فردا،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1378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Halliday,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M.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A.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K.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and Hassan, R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i/>
          <w:color w:val="495057"/>
          <w:spacing w:val="0"/>
          <w:position w:val="0"/>
          <w:sz w:val="24"/>
          <w:shd w:fill="FFFFFF" w:val="clear"/>
        </w:rPr>
        <w:t xml:space="preserve">Cohesion in English</w:t>
      </w:r>
      <w:r>
        <w:rPr>
          <w:rFonts w:ascii="Calibri" w:hAnsi="Calibri" w:cs="Calibri" w:eastAsia="Calibri"/>
          <w:i/>
          <w:color w:val="495057"/>
          <w:spacing w:val="0"/>
          <w:position w:val="0"/>
          <w:sz w:val="24"/>
          <w:shd w:fill="FFFFFF" w:val="clear"/>
        </w:rPr>
        <w:t xml:space="preserve">.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London: Longman, 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1976</w:t>
      </w:r>
      <w:r>
        <w:rPr>
          <w:rFonts w:ascii="Calibri" w:hAnsi="Calibri" w:cs="Calibri" w:eastAsia="Calibri"/>
          <w:color w:val="495057"/>
          <w:spacing w:val="0"/>
          <w:position w:val="0"/>
          <w:sz w:val="24"/>
          <w:shd w:fill="FFFFFF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Marzolph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Ulrich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 Treasury of Formulaic Narrative: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The Persian Popular Romance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Hosein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Kord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Enzyklop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rchens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Göttingen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Oral Tradition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279-303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bidi w:val="true"/>
        <w:spacing w:before="0" w:after="16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Page,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Marry Ellen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Naqq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Ferdowsi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Creativity in the Iranian National Tradition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University of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Pensylvania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Scholary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Commons,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16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Perrine, Laurence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Literature: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Structure,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Sound,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and Sense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Second Edition,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Harcourt Brace,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Jovanovich,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 York,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Chicago,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San Francisco,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 Atlanta,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Yamamoto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Kumiko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From Storytelling to Poetry: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the Oral Background of the Persian Epics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Scholary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 Oriental and African Studies University of London,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6">
    <w:abstractNumId w:val="66"/>
  </w:num>
  <w:num w:numId="8">
    <w:abstractNumId w:val="60"/>
  </w:num>
  <w:num w:numId="24">
    <w:abstractNumId w:val="54"/>
  </w:num>
  <w:num w:numId="26">
    <w:abstractNumId w:val="48"/>
  </w:num>
  <w:num w:numId="28">
    <w:abstractNumId w:val="42"/>
  </w:num>
  <w:num w:numId="30">
    <w:abstractNumId w:val="36"/>
  </w:num>
  <w:num w:numId="32">
    <w:abstractNumId w:val="30"/>
  </w:num>
  <w:num w:numId="34">
    <w:abstractNumId w:val="24"/>
  </w:num>
  <w:num w:numId="36">
    <w:abstractNumId w:val="18"/>
  </w:num>
  <w:num w:numId="38">
    <w:abstractNumId w:val="12"/>
  </w:num>
  <w:num w:numId="40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